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9D4" w:rsidRDefault="009359D4" w:rsidP="009359D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Minimum Wage and Youth Employment</w:t>
      </w:r>
    </w:p>
    <w:p w:rsidR="009359D4" w:rsidRDefault="009359D4" w:rsidP="009359D4">
      <w:pPr>
        <w:spacing w:line="360" w:lineRule="auto"/>
      </w:pPr>
      <w:r>
        <w:rPr>
          <w:rFonts w:ascii="Times New Roman" w:hAnsi="Times New Roman" w:cs="Times New Roman"/>
          <w:sz w:val="24"/>
          <w:szCs w:val="24"/>
        </w:rPr>
        <w:t>In order to assess the impact of minimum-wage changes, we used a fixed-effects model to judge variation in state-level employment over time and across states for 2001 through 2012. Our model included state and year fixed effects. We tested various dependent employment variables: the teen employment rate, the male employment rate for 20-to-24-year-olds, and the female employment rate for 20-to-24-year-olds. We also assessed changes between teen employment rates and those of workers 20 to 24 years old, by constructing two employment ratios: the ratio of female and male employment rates for 20-to-24-year-olds to the teen employment rate.</w:t>
      </w:r>
    </w:p>
    <w:p w:rsidR="009359D4" w:rsidRDefault="009359D4" w:rsidP="009359D4">
      <w:pPr>
        <w:spacing w:line="360" w:lineRule="auto"/>
      </w:pPr>
      <w:r>
        <w:rPr>
          <w:rFonts w:ascii="Times New Roman" w:hAnsi="Times New Roman" w:cs="Times New Roman"/>
          <w:sz w:val="24"/>
          <w:szCs w:val="24"/>
        </w:rPr>
        <w:t xml:space="preserve">We chose the following explanatory variables. First, as a proxy for state-level labor market and business conditions, we used the state unemployment rate. Since firms do not immediately adjust to changing conditions, we lagged the unemployment rate one period. Second, some researchers suggest that firms do not change their workforces in response to nominal changes in the minimum wage because they will be eroded by inflation over time. As a result, we used each state’s minimum wage adjusted for changes in the national Consumer Price Index. Next, we wanted to take into account structural and secular trends in our employment measures. In particular, state employment rates could be influenced by the share of the youth population that is either black or Hispanic. In addition, we included a time trend to take into account the long-term substantial declines in the employment rate of young workers. Finally, we used natural-log measures of both our employment rate and real minimum-wage variables. One advantage is that the coefficients of the real minimum wage directly measure the elasticities. </w:t>
      </w:r>
    </w:p>
    <w:p w:rsidR="009359D4" w:rsidRDefault="009359D4" w:rsidP="009359D4">
      <w:pPr>
        <w:spacing w:line="360" w:lineRule="auto"/>
      </w:pPr>
      <w:r>
        <w:rPr>
          <w:rFonts w:ascii="Times New Roman" w:hAnsi="Times New Roman" w:cs="Times New Roman"/>
          <w:sz w:val="24"/>
          <w:szCs w:val="24"/>
        </w:rPr>
        <w:t>As expected, weakening labor market conditions lower all three employment rates. Similarly, the time trend indicates that independent of our explanatory variables, all three employment rates have declined over our time period. Teen employment rates are lower as the Hispanic share of the state’s youth population increases. Both the male and female employment rates for 20-to-24-year-olds decline as the black share of the state’s youth population increases.</w:t>
      </w:r>
      <w:r>
        <w:t xml:space="preserve"> </w:t>
      </w:r>
    </w:p>
    <w:p w:rsidR="009359D4" w:rsidRDefault="009359D4" w:rsidP="009359D4">
      <w:pPr>
        <w:spacing w:line="360" w:lineRule="auto"/>
      </w:pPr>
      <w:bookmarkStart w:id="0" w:name="__DdeLink__237_685825182"/>
      <w:bookmarkEnd w:id="0"/>
      <w:r>
        <w:rPr>
          <w:rFonts w:ascii="Times New Roman" w:hAnsi="Times New Roman" w:cs="Times New Roman"/>
          <w:sz w:val="24"/>
          <w:szCs w:val="24"/>
        </w:rPr>
        <w:t xml:space="preserve">Our study indicates there is a statistically significant inverse relationship between the real minimum wage and both teen employment rates and the employment rates of males 20 to 24 years old. The predicted increases will be quite modest. If there is a 30 percent increase in the </w:t>
      </w:r>
      <w:r>
        <w:rPr>
          <w:rFonts w:ascii="Times New Roman" w:hAnsi="Times New Roman" w:cs="Times New Roman"/>
          <w:sz w:val="24"/>
          <w:szCs w:val="24"/>
        </w:rPr>
        <w:lastRenderedPageBreak/>
        <w:t>real minimum wage, our study predicts that the teen employment rate would decrease by 2.1 percent, while the male employment rate would decline by 1.08 percent.</w:t>
      </w:r>
    </w:p>
    <w:tbl>
      <w:tblPr>
        <w:tblStyle w:val="TableGrid"/>
        <w:tblW w:w="9525" w:type="dxa"/>
        <w:tblInd w:w="-5" w:type="dxa"/>
        <w:tblCellMar>
          <w:left w:w="103" w:type="dxa"/>
        </w:tblCellMar>
        <w:tblLook w:val="04A0" w:firstRow="1" w:lastRow="0" w:firstColumn="1" w:lastColumn="0" w:noHBand="0" w:noVBand="1"/>
      </w:tblPr>
      <w:tblGrid>
        <w:gridCol w:w="1976"/>
        <w:gridCol w:w="1381"/>
        <w:gridCol w:w="1693"/>
        <w:gridCol w:w="1661"/>
        <w:gridCol w:w="1407"/>
        <w:gridCol w:w="1407"/>
      </w:tblGrid>
      <w:tr w:rsidR="009359D4" w:rsidTr="00F15600">
        <w:trPr>
          <w:trHeight w:val="505"/>
        </w:trPr>
        <w:tc>
          <w:tcPr>
            <w:tcW w:w="9524" w:type="dxa"/>
            <w:gridSpan w:val="6"/>
            <w:shd w:val="clear" w:color="auto" w:fill="auto"/>
            <w:tcMar>
              <w:left w:w="103" w:type="dxa"/>
            </w:tcMar>
          </w:tcPr>
          <w:p w:rsidR="009359D4" w:rsidRDefault="009359D4" w:rsidP="00F15600"/>
          <w:p w:rsidR="009359D4" w:rsidRDefault="009359D4" w:rsidP="00F15600">
            <w:pPr>
              <w:jc w:val="center"/>
              <w:rPr>
                <w:b/>
                <w:sz w:val="28"/>
                <w:szCs w:val="28"/>
              </w:rPr>
            </w:pPr>
            <w:r>
              <w:rPr>
                <w:b/>
                <w:sz w:val="28"/>
                <w:szCs w:val="28"/>
              </w:rPr>
              <w:t>Impact of Real Minimum Wage on Youth Employment, 2001-2012</w:t>
            </w:r>
          </w:p>
          <w:p w:rsidR="009359D4" w:rsidRDefault="009359D4" w:rsidP="00F15600">
            <w:pPr>
              <w:jc w:val="center"/>
              <w:rPr>
                <w:b/>
                <w:sz w:val="28"/>
                <w:szCs w:val="28"/>
              </w:rPr>
            </w:pPr>
            <w:r>
              <w:rPr>
                <w:b/>
                <w:sz w:val="28"/>
                <w:szCs w:val="28"/>
              </w:rPr>
              <w:t>(t-scores in parentheses)</w:t>
            </w:r>
          </w:p>
        </w:tc>
      </w:tr>
      <w:tr w:rsidR="009359D4" w:rsidTr="00F15600">
        <w:trPr>
          <w:trHeight w:val="505"/>
        </w:trPr>
        <w:tc>
          <w:tcPr>
            <w:tcW w:w="1975" w:type="dxa"/>
            <w:shd w:val="clear" w:color="auto" w:fill="auto"/>
            <w:tcMar>
              <w:left w:w="103" w:type="dxa"/>
            </w:tcMar>
          </w:tcPr>
          <w:p w:rsidR="009359D4" w:rsidRDefault="009359D4" w:rsidP="00F15600">
            <w:pPr>
              <w:rPr>
                <w:b/>
              </w:rPr>
            </w:pPr>
            <w:r>
              <w:rPr>
                <w:b/>
              </w:rPr>
              <w:t>Explanatory</w:t>
            </w:r>
          </w:p>
          <w:p w:rsidR="009359D4" w:rsidRDefault="009359D4" w:rsidP="00F15600">
            <w:pPr>
              <w:rPr>
                <w:b/>
              </w:rPr>
            </w:pPr>
            <w:r>
              <w:rPr>
                <w:b/>
              </w:rPr>
              <w:t>Variables</w:t>
            </w:r>
          </w:p>
        </w:tc>
        <w:tc>
          <w:tcPr>
            <w:tcW w:w="1381" w:type="dxa"/>
            <w:shd w:val="clear" w:color="auto" w:fill="auto"/>
            <w:tcMar>
              <w:left w:w="103" w:type="dxa"/>
            </w:tcMar>
          </w:tcPr>
          <w:p w:rsidR="009359D4" w:rsidRDefault="009359D4" w:rsidP="00F15600">
            <w:pPr>
              <w:rPr>
                <w:b/>
              </w:rPr>
            </w:pPr>
            <w:r>
              <w:rPr>
                <w:b/>
              </w:rPr>
              <w:t>Log Teen</w:t>
            </w:r>
          </w:p>
          <w:p w:rsidR="009359D4" w:rsidRDefault="009359D4" w:rsidP="00F15600">
            <w:pPr>
              <w:rPr>
                <w:b/>
              </w:rPr>
            </w:pPr>
            <w:r>
              <w:rPr>
                <w:b/>
              </w:rPr>
              <w:t>Employment Rate</w:t>
            </w:r>
          </w:p>
        </w:tc>
        <w:tc>
          <w:tcPr>
            <w:tcW w:w="1693" w:type="dxa"/>
            <w:shd w:val="clear" w:color="auto" w:fill="auto"/>
            <w:tcMar>
              <w:left w:w="103" w:type="dxa"/>
            </w:tcMar>
          </w:tcPr>
          <w:p w:rsidR="009359D4" w:rsidRDefault="009359D4" w:rsidP="00F15600">
            <w:pPr>
              <w:rPr>
                <w:b/>
              </w:rPr>
            </w:pPr>
            <w:r>
              <w:rPr>
                <w:b/>
              </w:rPr>
              <w:t>Log Male</w:t>
            </w:r>
          </w:p>
          <w:p w:rsidR="009359D4" w:rsidRDefault="009359D4" w:rsidP="00F15600">
            <w:pPr>
              <w:rPr>
                <w:b/>
              </w:rPr>
            </w:pPr>
            <w:r>
              <w:rPr>
                <w:b/>
              </w:rPr>
              <w:t>Employ Rate</w:t>
            </w:r>
          </w:p>
          <w:p w:rsidR="009359D4" w:rsidRDefault="009359D4" w:rsidP="00F15600">
            <w:pPr>
              <w:rPr>
                <w:b/>
              </w:rPr>
            </w:pPr>
            <w:r>
              <w:rPr>
                <w:b/>
              </w:rPr>
              <w:t>20-24 Year Olds</w:t>
            </w:r>
          </w:p>
        </w:tc>
        <w:tc>
          <w:tcPr>
            <w:tcW w:w="1661" w:type="dxa"/>
            <w:shd w:val="clear" w:color="auto" w:fill="auto"/>
            <w:tcMar>
              <w:left w:w="103" w:type="dxa"/>
            </w:tcMar>
          </w:tcPr>
          <w:p w:rsidR="009359D4" w:rsidRDefault="009359D4" w:rsidP="00F15600">
            <w:pPr>
              <w:rPr>
                <w:b/>
              </w:rPr>
            </w:pPr>
            <w:r>
              <w:rPr>
                <w:b/>
              </w:rPr>
              <w:t>Log Female</w:t>
            </w:r>
          </w:p>
          <w:p w:rsidR="009359D4" w:rsidRDefault="009359D4" w:rsidP="00F15600">
            <w:pPr>
              <w:rPr>
                <w:b/>
              </w:rPr>
            </w:pPr>
            <w:r>
              <w:rPr>
                <w:b/>
              </w:rPr>
              <w:t>Employ Rate</w:t>
            </w:r>
          </w:p>
          <w:p w:rsidR="009359D4" w:rsidRDefault="009359D4" w:rsidP="00F15600">
            <w:pPr>
              <w:rPr>
                <w:b/>
              </w:rPr>
            </w:pPr>
            <w:r>
              <w:rPr>
                <w:b/>
              </w:rPr>
              <w:t>20-24 Year Olds</w:t>
            </w:r>
          </w:p>
        </w:tc>
        <w:tc>
          <w:tcPr>
            <w:tcW w:w="1407" w:type="dxa"/>
            <w:shd w:val="clear" w:color="auto" w:fill="auto"/>
            <w:tcMar>
              <w:left w:w="103" w:type="dxa"/>
            </w:tcMar>
          </w:tcPr>
          <w:p w:rsidR="009359D4" w:rsidRDefault="009359D4" w:rsidP="00F15600">
            <w:pPr>
              <w:rPr>
                <w:b/>
              </w:rPr>
            </w:pPr>
            <w:r>
              <w:rPr>
                <w:b/>
              </w:rPr>
              <w:t xml:space="preserve">Log Female </w:t>
            </w:r>
          </w:p>
          <w:p w:rsidR="009359D4" w:rsidRDefault="009359D4" w:rsidP="00F15600">
            <w:pPr>
              <w:rPr>
                <w:b/>
              </w:rPr>
            </w:pPr>
            <w:r>
              <w:rPr>
                <w:b/>
              </w:rPr>
              <w:t>To Teen</w:t>
            </w:r>
          </w:p>
          <w:p w:rsidR="009359D4" w:rsidRDefault="009359D4" w:rsidP="00F15600">
            <w:pPr>
              <w:rPr>
                <w:b/>
              </w:rPr>
            </w:pPr>
            <w:r>
              <w:rPr>
                <w:b/>
              </w:rPr>
              <w:t>Employ Rate</w:t>
            </w:r>
          </w:p>
        </w:tc>
        <w:tc>
          <w:tcPr>
            <w:tcW w:w="1407" w:type="dxa"/>
            <w:shd w:val="clear" w:color="auto" w:fill="auto"/>
            <w:tcMar>
              <w:left w:w="103" w:type="dxa"/>
            </w:tcMar>
          </w:tcPr>
          <w:p w:rsidR="009359D4" w:rsidRDefault="009359D4" w:rsidP="00F15600">
            <w:pPr>
              <w:rPr>
                <w:b/>
              </w:rPr>
            </w:pPr>
            <w:r>
              <w:rPr>
                <w:b/>
              </w:rPr>
              <w:t>Log Male</w:t>
            </w:r>
          </w:p>
          <w:p w:rsidR="009359D4" w:rsidRDefault="009359D4" w:rsidP="00F15600">
            <w:pPr>
              <w:rPr>
                <w:b/>
              </w:rPr>
            </w:pPr>
            <w:r>
              <w:rPr>
                <w:b/>
              </w:rPr>
              <w:t>To Teen</w:t>
            </w:r>
          </w:p>
          <w:p w:rsidR="009359D4" w:rsidRDefault="009359D4" w:rsidP="00F15600">
            <w:pPr>
              <w:rPr>
                <w:b/>
              </w:rPr>
            </w:pPr>
            <w:r>
              <w:rPr>
                <w:b/>
              </w:rPr>
              <w:t>Employ Rate</w:t>
            </w:r>
          </w:p>
        </w:tc>
      </w:tr>
      <w:tr w:rsidR="009359D4" w:rsidTr="00F15600">
        <w:trPr>
          <w:trHeight w:val="477"/>
        </w:trPr>
        <w:tc>
          <w:tcPr>
            <w:tcW w:w="1975" w:type="dxa"/>
            <w:shd w:val="clear" w:color="auto" w:fill="auto"/>
            <w:tcMar>
              <w:left w:w="103" w:type="dxa"/>
            </w:tcMar>
          </w:tcPr>
          <w:p w:rsidR="009359D4" w:rsidRDefault="009359D4" w:rsidP="00F15600">
            <w:pPr>
              <w:rPr>
                <w:b/>
              </w:rPr>
            </w:pPr>
            <w:r>
              <w:rPr>
                <w:b/>
              </w:rPr>
              <w:t xml:space="preserve">Unemployment </w:t>
            </w:r>
          </w:p>
          <w:p w:rsidR="009359D4" w:rsidRDefault="009359D4" w:rsidP="00F15600">
            <w:pPr>
              <w:rPr>
                <w:b/>
              </w:rPr>
            </w:pPr>
            <w:r>
              <w:rPr>
                <w:b/>
              </w:rPr>
              <w:t>Rate lagged</w:t>
            </w:r>
          </w:p>
        </w:tc>
        <w:tc>
          <w:tcPr>
            <w:tcW w:w="1381" w:type="dxa"/>
            <w:shd w:val="clear" w:color="auto" w:fill="auto"/>
            <w:tcMar>
              <w:left w:w="103" w:type="dxa"/>
            </w:tcMar>
          </w:tcPr>
          <w:p w:rsidR="009359D4" w:rsidRDefault="009359D4" w:rsidP="00F15600">
            <w:r>
              <w:t>-0.040</w:t>
            </w:r>
          </w:p>
          <w:p w:rsidR="009359D4" w:rsidRDefault="009359D4" w:rsidP="00F15600">
            <w:r>
              <w:t>(-12.90)**</w:t>
            </w:r>
          </w:p>
        </w:tc>
        <w:tc>
          <w:tcPr>
            <w:tcW w:w="1693" w:type="dxa"/>
            <w:shd w:val="clear" w:color="auto" w:fill="auto"/>
            <w:tcMar>
              <w:left w:w="103" w:type="dxa"/>
            </w:tcMar>
          </w:tcPr>
          <w:p w:rsidR="009359D4" w:rsidRDefault="009359D4" w:rsidP="00F15600">
            <w:r>
              <w:t>-0. 015</w:t>
            </w:r>
          </w:p>
          <w:p w:rsidR="009359D4" w:rsidRDefault="009359D4" w:rsidP="00F15600">
            <w:r>
              <w:t>(-12.81)**</w:t>
            </w:r>
          </w:p>
        </w:tc>
        <w:tc>
          <w:tcPr>
            <w:tcW w:w="1661" w:type="dxa"/>
            <w:shd w:val="clear" w:color="auto" w:fill="auto"/>
            <w:tcMar>
              <w:left w:w="103" w:type="dxa"/>
            </w:tcMar>
          </w:tcPr>
          <w:p w:rsidR="009359D4" w:rsidRDefault="009359D4" w:rsidP="00F15600">
            <w:r>
              <w:t>-0.008</w:t>
            </w:r>
          </w:p>
          <w:p w:rsidR="009359D4" w:rsidRDefault="009359D4" w:rsidP="00F15600">
            <w:r>
              <w:t>(-5.16)**</w:t>
            </w:r>
          </w:p>
        </w:tc>
        <w:tc>
          <w:tcPr>
            <w:tcW w:w="1407" w:type="dxa"/>
            <w:shd w:val="clear" w:color="auto" w:fill="auto"/>
            <w:tcMar>
              <w:left w:w="103" w:type="dxa"/>
            </w:tcMar>
          </w:tcPr>
          <w:p w:rsidR="009359D4" w:rsidRDefault="009359D4" w:rsidP="00F15600">
            <w:r>
              <w:t>0.320</w:t>
            </w:r>
          </w:p>
          <w:p w:rsidR="009359D4" w:rsidRDefault="009359D4" w:rsidP="00F15600">
            <w:r>
              <w:t>(9.82)**</w:t>
            </w:r>
          </w:p>
        </w:tc>
        <w:tc>
          <w:tcPr>
            <w:tcW w:w="1407" w:type="dxa"/>
            <w:shd w:val="clear" w:color="auto" w:fill="auto"/>
            <w:tcMar>
              <w:left w:w="103" w:type="dxa"/>
            </w:tcMar>
          </w:tcPr>
          <w:p w:rsidR="009359D4" w:rsidRDefault="009359D4" w:rsidP="00F15600">
            <w:r>
              <w:t>0.024</w:t>
            </w:r>
          </w:p>
          <w:p w:rsidR="009359D4" w:rsidRDefault="009359D4" w:rsidP="00F15600">
            <w:r>
              <w:t>(7.83)**</w:t>
            </w:r>
          </w:p>
        </w:tc>
      </w:tr>
      <w:tr w:rsidR="009359D4" w:rsidTr="00F15600">
        <w:trPr>
          <w:trHeight w:val="505"/>
        </w:trPr>
        <w:tc>
          <w:tcPr>
            <w:tcW w:w="1975" w:type="dxa"/>
            <w:shd w:val="clear" w:color="auto" w:fill="auto"/>
            <w:tcMar>
              <w:left w:w="103" w:type="dxa"/>
            </w:tcMar>
          </w:tcPr>
          <w:p w:rsidR="009359D4" w:rsidRDefault="009359D4" w:rsidP="00F15600">
            <w:pPr>
              <w:rPr>
                <w:b/>
              </w:rPr>
            </w:pPr>
            <w:r>
              <w:rPr>
                <w:b/>
              </w:rPr>
              <w:t>Log Real Minimum</w:t>
            </w:r>
          </w:p>
          <w:p w:rsidR="009359D4" w:rsidRDefault="009359D4" w:rsidP="00F15600">
            <w:pPr>
              <w:rPr>
                <w:b/>
              </w:rPr>
            </w:pPr>
            <w:r>
              <w:rPr>
                <w:b/>
              </w:rPr>
              <w:t>Wage Rate</w:t>
            </w:r>
          </w:p>
        </w:tc>
        <w:tc>
          <w:tcPr>
            <w:tcW w:w="1381" w:type="dxa"/>
            <w:shd w:val="clear" w:color="auto" w:fill="auto"/>
            <w:tcMar>
              <w:left w:w="103" w:type="dxa"/>
            </w:tcMar>
          </w:tcPr>
          <w:p w:rsidR="009359D4" w:rsidRDefault="009359D4" w:rsidP="00F15600">
            <w:r>
              <w:t>-0.070</w:t>
            </w:r>
          </w:p>
          <w:p w:rsidR="009359D4" w:rsidRDefault="009359D4" w:rsidP="00F15600">
            <w:r>
              <w:t>(-2.26)*</w:t>
            </w:r>
          </w:p>
        </w:tc>
        <w:tc>
          <w:tcPr>
            <w:tcW w:w="1693" w:type="dxa"/>
            <w:shd w:val="clear" w:color="auto" w:fill="auto"/>
            <w:tcMar>
              <w:left w:w="103" w:type="dxa"/>
            </w:tcMar>
          </w:tcPr>
          <w:p w:rsidR="009359D4" w:rsidRDefault="009359D4" w:rsidP="00F15600">
            <w:r>
              <w:t>-0.036</w:t>
            </w:r>
          </w:p>
          <w:p w:rsidR="009359D4" w:rsidRDefault="009359D4" w:rsidP="00F15600">
            <w:r>
              <w:t>(3.03)**</w:t>
            </w:r>
          </w:p>
        </w:tc>
        <w:tc>
          <w:tcPr>
            <w:tcW w:w="1661" w:type="dxa"/>
            <w:shd w:val="clear" w:color="auto" w:fill="auto"/>
            <w:tcMar>
              <w:left w:w="103" w:type="dxa"/>
            </w:tcMar>
          </w:tcPr>
          <w:p w:rsidR="009359D4" w:rsidRDefault="009359D4" w:rsidP="00F15600">
            <w:r>
              <w:t>-0.004</w:t>
            </w:r>
          </w:p>
          <w:p w:rsidR="009359D4" w:rsidRDefault="009359D4" w:rsidP="00F15600">
            <w:r>
              <w:t>(-0.28)</w:t>
            </w:r>
          </w:p>
        </w:tc>
        <w:tc>
          <w:tcPr>
            <w:tcW w:w="1407" w:type="dxa"/>
            <w:shd w:val="clear" w:color="auto" w:fill="auto"/>
            <w:tcMar>
              <w:left w:w="103" w:type="dxa"/>
            </w:tcMar>
          </w:tcPr>
          <w:p w:rsidR="009359D4" w:rsidRDefault="009359D4" w:rsidP="00F15600">
            <w:r>
              <w:t>0.067</w:t>
            </w:r>
          </w:p>
          <w:p w:rsidR="009359D4" w:rsidRDefault="009359D4" w:rsidP="00F15600">
            <w:r>
              <w:t>(2.04)**</w:t>
            </w:r>
          </w:p>
        </w:tc>
        <w:tc>
          <w:tcPr>
            <w:tcW w:w="1407" w:type="dxa"/>
            <w:shd w:val="clear" w:color="auto" w:fill="auto"/>
            <w:tcMar>
              <w:left w:w="103" w:type="dxa"/>
            </w:tcMar>
          </w:tcPr>
          <w:p w:rsidR="009359D4" w:rsidRDefault="009359D4" w:rsidP="00F15600">
            <w:r>
              <w:t>0.034</w:t>
            </w:r>
          </w:p>
          <w:p w:rsidR="009359D4" w:rsidRDefault="009359D4" w:rsidP="00F15600">
            <w:r>
              <w:t>(1.09)</w:t>
            </w:r>
          </w:p>
        </w:tc>
      </w:tr>
      <w:tr w:rsidR="009359D4" w:rsidTr="00F15600">
        <w:trPr>
          <w:trHeight w:val="477"/>
        </w:trPr>
        <w:tc>
          <w:tcPr>
            <w:tcW w:w="1975" w:type="dxa"/>
            <w:shd w:val="clear" w:color="auto" w:fill="auto"/>
            <w:tcMar>
              <w:left w:w="103" w:type="dxa"/>
            </w:tcMar>
          </w:tcPr>
          <w:p w:rsidR="009359D4" w:rsidRDefault="009359D4" w:rsidP="00F15600">
            <w:pPr>
              <w:rPr>
                <w:b/>
              </w:rPr>
            </w:pPr>
            <w:r>
              <w:rPr>
                <w:b/>
              </w:rPr>
              <w:t>Share Hispanic</w:t>
            </w:r>
          </w:p>
          <w:p w:rsidR="009359D4" w:rsidRDefault="009359D4" w:rsidP="00F15600">
            <w:pPr>
              <w:rPr>
                <w:b/>
              </w:rPr>
            </w:pPr>
            <w:r>
              <w:rPr>
                <w:b/>
              </w:rPr>
              <w:t>Youth</w:t>
            </w:r>
          </w:p>
        </w:tc>
        <w:tc>
          <w:tcPr>
            <w:tcW w:w="1381" w:type="dxa"/>
            <w:shd w:val="clear" w:color="auto" w:fill="auto"/>
            <w:tcMar>
              <w:left w:w="103" w:type="dxa"/>
            </w:tcMar>
          </w:tcPr>
          <w:p w:rsidR="009359D4" w:rsidRDefault="009359D4" w:rsidP="00F15600">
            <w:r>
              <w:t>-0.009</w:t>
            </w:r>
          </w:p>
          <w:p w:rsidR="009359D4" w:rsidRDefault="009359D4" w:rsidP="00F15600">
            <w:r>
              <w:t>(-2.65)**</w:t>
            </w:r>
          </w:p>
        </w:tc>
        <w:tc>
          <w:tcPr>
            <w:tcW w:w="1693" w:type="dxa"/>
            <w:shd w:val="clear" w:color="auto" w:fill="auto"/>
            <w:tcMar>
              <w:left w:w="103" w:type="dxa"/>
            </w:tcMar>
          </w:tcPr>
          <w:p w:rsidR="009359D4" w:rsidRDefault="009359D4" w:rsidP="00F15600">
            <w:r>
              <w:t>-0.001</w:t>
            </w:r>
          </w:p>
          <w:p w:rsidR="009359D4" w:rsidRDefault="009359D4" w:rsidP="00F15600">
            <w:r>
              <w:t>(-0.98)</w:t>
            </w:r>
          </w:p>
        </w:tc>
        <w:tc>
          <w:tcPr>
            <w:tcW w:w="1661" w:type="dxa"/>
            <w:shd w:val="clear" w:color="auto" w:fill="auto"/>
            <w:tcMar>
              <w:left w:w="103" w:type="dxa"/>
            </w:tcMar>
          </w:tcPr>
          <w:p w:rsidR="009359D4" w:rsidRDefault="009359D4" w:rsidP="00F15600">
            <w:r>
              <w:t>-0.001</w:t>
            </w:r>
          </w:p>
          <w:p w:rsidR="009359D4" w:rsidRDefault="009359D4" w:rsidP="00F15600">
            <w:r>
              <w:t>(-0.76)</w:t>
            </w:r>
          </w:p>
        </w:tc>
        <w:tc>
          <w:tcPr>
            <w:tcW w:w="1407" w:type="dxa"/>
            <w:shd w:val="clear" w:color="auto" w:fill="auto"/>
            <w:tcMar>
              <w:left w:w="103" w:type="dxa"/>
            </w:tcMar>
          </w:tcPr>
          <w:p w:rsidR="009359D4" w:rsidRDefault="009359D4" w:rsidP="00F15600">
            <w:r>
              <w:t>0.007</w:t>
            </w:r>
          </w:p>
          <w:p w:rsidR="009359D4" w:rsidRDefault="009359D4" w:rsidP="00F15600">
            <w:r>
              <w:t>(2.13)**</w:t>
            </w:r>
          </w:p>
        </w:tc>
        <w:tc>
          <w:tcPr>
            <w:tcW w:w="1407" w:type="dxa"/>
            <w:shd w:val="clear" w:color="auto" w:fill="auto"/>
            <w:tcMar>
              <w:left w:w="103" w:type="dxa"/>
            </w:tcMar>
          </w:tcPr>
          <w:p w:rsidR="009359D4" w:rsidRDefault="009359D4" w:rsidP="00F15600">
            <w:r>
              <w:t>0.007</w:t>
            </w:r>
          </w:p>
          <w:p w:rsidR="009359D4" w:rsidRDefault="009359D4" w:rsidP="00F15600">
            <w:r>
              <w:t>(2.27)**</w:t>
            </w:r>
          </w:p>
        </w:tc>
      </w:tr>
      <w:tr w:rsidR="009359D4" w:rsidTr="00F15600">
        <w:trPr>
          <w:trHeight w:val="505"/>
        </w:trPr>
        <w:tc>
          <w:tcPr>
            <w:tcW w:w="1975" w:type="dxa"/>
            <w:shd w:val="clear" w:color="auto" w:fill="auto"/>
            <w:tcMar>
              <w:left w:w="103" w:type="dxa"/>
            </w:tcMar>
          </w:tcPr>
          <w:p w:rsidR="009359D4" w:rsidRDefault="009359D4" w:rsidP="00F15600">
            <w:pPr>
              <w:rPr>
                <w:b/>
              </w:rPr>
            </w:pPr>
            <w:r>
              <w:rPr>
                <w:b/>
              </w:rPr>
              <w:t>Share Black</w:t>
            </w:r>
          </w:p>
          <w:p w:rsidR="009359D4" w:rsidRDefault="009359D4" w:rsidP="00F15600">
            <w:pPr>
              <w:rPr>
                <w:b/>
              </w:rPr>
            </w:pPr>
            <w:r>
              <w:rPr>
                <w:b/>
              </w:rPr>
              <w:t>Youth</w:t>
            </w:r>
          </w:p>
        </w:tc>
        <w:tc>
          <w:tcPr>
            <w:tcW w:w="1381" w:type="dxa"/>
            <w:shd w:val="clear" w:color="auto" w:fill="auto"/>
            <w:tcMar>
              <w:left w:w="103" w:type="dxa"/>
            </w:tcMar>
          </w:tcPr>
          <w:p w:rsidR="009359D4" w:rsidRDefault="009359D4" w:rsidP="00F15600">
            <w:r>
              <w:t>0.055</w:t>
            </w:r>
          </w:p>
          <w:p w:rsidR="009359D4" w:rsidRDefault="009359D4" w:rsidP="00F15600">
            <w:r>
              <w:t>(1.36)</w:t>
            </w:r>
          </w:p>
        </w:tc>
        <w:tc>
          <w:tcPr>
            <w:tcW w:w="1693" w:type="dxa"/>
            <w:shd w:val="clear" w:color="auto" w:fill="auto"/>
            <w:tcMar>
              <w:left w:w="103" w:type="dxa"/>
            </w:tcMar>
          </w:tcPr>
          <w:p w:rsidR="009359D4" w:rsidRDefault="009359D4" w:rsidP="00F15600">
            <w:r>
              <w:t>-0.005</w:t>
            </w:r>
          </w:p>
          <w:p w:rsidR="009359D4" w:rsidRDefault="009359D4" w:rsidP="00F15600">
            <w:r>
              <w:t>(-3.40)**</w:t>
            </w:r>
          </w:p>
        </w:tc>
        <w:tc>
          <w:tcPr>
            <w:tcW w:w="1661" w:type="dxa"/>
            <w:shd w:val="clear" w:color="auto" w:fill="auto"/>
            <w:tcMar>
              <w:left w:w="103" w:type="dxa"/>
            </w:tcMar>
          </w:tcPr>
          <w:p w:rsidR="009359D4" w:rsidRDefault="009359D4" w:rsidP="00F15600">
            <w:r>
              <w:t>-0.003</w:t>
            </w:r>
          </w:p>
          <w:p w:rsidR="009359D4" w:rsidRDefault="009359D4" w:rsidP="00F15600">
            <w:r>
              <w:t>(-1.79)+</w:t>
            </w:r>
          </w:p>
        </w:tc>
        <w:tc>
          <w:tcPr>
            <w:tcW w:w="1407" w:type="dxa"/>
            <w:shd w:val="clear" w:color="auto" w:fill="auto"/>
            <w:tcMar>
              <w:left w:w="103" w:type="dxa"/>
            </w:tcMar>
          </w:tcPr>
          <w:p w:rsidR="009359D4" w:rsidRDefault="009359D4" w:rsidP="00F15600">
            <w:r>
              <w:t>-0.008</w:t>
            </w:r>
          </w:p>
          <w:p w:rsidR="009359D4" w:rsidRDefault="009359D4" w:rsidP="00F15600">
            <w:r>
              <w:t>(-1.82)+</w:t>
            </w:r>
          </w:p>
        </w:tc>
        <w:tc>
          <w:tcPr>
            <w:tcW w:w="1407" w:type="dxa"/>
            <w:shd w:val="clear" w:color="auto" w:fill="auto"/>
            <w:tcMar>
              <w:left w:w="103" w:type="dxa"/>
            </w:tcMar>
          </w:tcPr>
          <w:p w:rsidR="009359D4" w:rsidRDefault="009359D4" w:rsidP="00F15600">
            <w:r>
              <w:t>-0.009</w:t>
            </w:r>
          </w:p>
          <w:p w:rsidR="009359D4" w:rsidRDefault="009359D4" w:rsidP="00F15600">
            <w:r>
              <w:t>(-2.26)**</w:t>
            </w:r>
          </w:p>
        </w:tc>
      </w:tr>
      <w:tr w:rsidR="009359D4" w:rsidTr="00F15600">
        <w:trPr>
          <w:trHeight w:val="533"/>
        </w:trPr>
        <w:tc>
          <w:tcPr>
            <w:tcW w:w="1975" w:type="dxa"/>
            <w:shd w:val="clear" w:color="auto" w:fill="auto"/>
            <w:tcMar>
              <w:left w:w="103" w:type="dxa"/>
            </w:tcMar>
          </w:tcPr>
          <w:p w:rsidR="009359D4" w:rsidRDefault="009359D4" w:rsidP="00F15600">
            <w:pPr>
              <w:rPr>
                <w:b/>
              </w:rPr>
            </w:pPr>
            <w:r>
              <w:rPr>
                <w:b/>
              </w:rPr>
              <w:t>Time Trend</w:t>
            </w:r>
          </w:p>
        </w:tc>
        <w:tc>
          <w:tcPr>
            <w:tcW w:w="1381" w:type="dxa"/>
            <w:shd w:val="clear" w:color="auto" w:fill="auto"/>
            <w:tcMar>
              <w:left w:w="103" w:type="dxa"/>
            </w:tcMar>
          </w:tcPr>
          <w:p w:rsidR="009359D4" w:rsidRDefault="009359D4" w:rsidP="00F15600">
            <w:r>
              <w:t>-0.014</w:t>
            </w:r>
          </w:p>
          <w:p w:rsidR="009359D4" w:rsidRDefault="009359D4" w:rsidP="00F15600">
            <w:r>
              <w:t>(-6.51)**</w:t>
            </w:r>
          </w:p>
        </w:tc>
        <w:tc>
          <w:tcPr>
            <w:tcW w:w="1693" w:type="dxa"/>
            <w:shd w:val="clear" w:color="auto" w:fill="auto"/>
            <w:tcMar>
              <w:left w:w="103" w:type="dxa"/>
            </w:tcMar>
          </w:tcPr>
          <w:p w:rsidR="009359D4" w:rsidRDefault="009359D4" w:rsidP="00F15600">
            <w:r>
              <w:t>-0.003</w:t>
            </w:r>
          </w:p>
          <w:p w:rsidR="009359D4" w:rsidRDefault="009359D4" w:rsidP="00F15600">
            <w:r>
              <w:t>(-3.19)**</w:t>
            </w:r>
          </w:p>
        </w:tc>
        <w:tc>
          <w:tcPr>
            <w:tcW w:w="1661" w:type="dxa"/>
            <w:shd w:val="clear" w:color="auto" w:fill="auto"/>
            <w:tcMar>
              <w:left w:w="103" w:type="dxa"/>
            </w:tcMar>
          </w:tcPr>
          <w:p w:rsidR="009359D4" w:rsidRDefault="009359D4" w:rsidP="00F15600">
            <w:r>
              <w:t>-0.004</w:t>
            </w:r>
          </w:p>
          <w:p w:rsidR="009359D4" w:rsidRDefault="009359D4" w:rsidP="00F15600">
            <w:r>
              <w:t>(-4.12)**</w:t>
            </w:r>
          </w:p>
        </w:tc>
        <w:tc>
          <w:tcPr>
            <w:tcW w:w="1407" w:type="dxa"/>
            <w:shd w:val="clear" w:color="auto" w:fill="auto"/>
            <w:tcMar>
              <w:left w:w="103" w:type="dxa"/>
            </w:tcMar>
          </w:tcPr>
          <w:p w:rsidR="009359D4" w:rsidRDefault="009359D4" w:rsidP="00F15600">
            <w:r>
              <w:t>0.010</w:t>
            </w:r>
          </w:p>
          <w:p w:rsidR="009359D4" w:rsidRDefault="009359D4" w:rsidP="00F15600">
            <w:r>
              <w:t>(4.25)**</w:t>
            </w:r>
          </w:p>
        </w:tc>
        <w:tc>
          <w:tcPr>
            <w:tcW w:w="1407" w:type="dxa"/>
            <w:shd w:val="clear" w:color="auto" w:fill="auto"/>
            <w:tcMar>
              <w:left w:w="103" w:type="dxa"/>
            </w:tcMar>
          </w:tcPr>
          <w:p w:rsidR="009359D4" w:rsidRDefault="009359D4" w:rsidP="00F15600">
            <w:r>
              <w:t>0.012</w:t>
            </w:r>
          </w:p>
          <w:p w:rsidR="009359D4" w:rsidRDefault="009359D4" w:rsidP="00F15600">
            <w:r>
              <w:t>(5.18)**</w:t>
            </w:r>
          </w:p>
        </w:tc>
      </w:tr>
      <w:tr w:rsidR="009359D4" w:rsidTr="00F15600">
        <w:trPr>
          <w:trHeight w:val="533"/>
        </w:trPr>
        <w:tc>
          <w:tcPr>
            <w:tcW w:w="1975" w:type="dxa"/>
            <w:shd w:val="clear" w:color="auto" w:fill="auto"/>
            <w:tcMar>
              <w:left w:w="103" w:type="dxa"/>
            </w:tcMar>
          </w:tcPr>
          <w:p w:rsidR="009359D4" w:rsidRDefault="009359D4" w:rsidP="00F15600">
            <w:pPr>
              <w:rPr>
                <w:b/>
              </w:rPr>
            </w:pPr>
            <w:r>
              <w:rPr>
                <w:b/>
              </w:rPr>
              <w:t>N</w:t>
            </w:r>
          </w:p>
        </w:tc>
        <w:tc>
          <w:tcPr>
            <w:tcW w:w="1381" w:type="dxa"/>
            <w:shd w:val="clear" w:color="auto" w:fill="auto"/>
            <w:tcMar>
              <w:left w:w="103" w:type="dxa"/>
            </w:tcMar>
          </w:tcPr>
          <w:p w:rsidR="009359D4" w:rsidRDefault="009359D4" w:rsidP="00F15600">
            <w:r>
              <w:t>605</w:t>
            </w:r>
          </w:p>
        </w:tc>
        <w:tc>
          <w:tcPr>
            <w:tcW w:w="1693" w:type="dxa"/>
            <w:shd w:val="clear" w:color="auto" w:fill="auto"/>
            <w:tcMar>
              <w:left w:w="103" w:type="dxa"/>
            </w:tcMar>
          </w:tcPr>
          <w:p w:rsidR="009359D4" w:rsidRDefault="009359D4" w:rsidP="00F15600">
            <w:r>
              <w:t>612</w:t>
            </w:r>
          </w:p>
        </w:tc>
        <w:tc>
          <w:tcPr>
            <w:tcW w:w="1661" w:type="dxa"/>
            <w:shd w:val="clear" w:color="auto" w:fill="auto"/>
            <w:tcMar>
              <w:left w:w="103" w:type="dxa"/>
            </w:tcMar>
          </w:tcPr>
          <w:p w:rsidR="009359D4" w:rsidRDefault="009359D4" w:rsidP="00F15600">
            <w:r>
              <w:t>612</w:t>
            </w:r>
          </w:p>
        </w:tc>
        <w:tc>
          <w:tcPr>
            <w:tcW w:w="1407" w:type="dxa"/>
            <w:shd w:val="clear" w:color="auto" w:fill="auto"/>
            <w:tcMar>
              <w:left w:w="103" w:type="dxa"/>
            </w:tcMar>
          </w:tcPr>
          <w:p w:rsidR="009359D4" w:rsidRDefault="009359D4" w:rsidP="00F15600">
            <w:r>
              <w:t>605</w:t>
            </w:r>
          </w:p>
        </w:tc>
        <w:tc>
          <w:tcPr>
            <w:tcW w:w="1407" w:type="dxa"/>
            <w:shd w:val="clear" w:color="auto" w:fill="auto"/>
            <w:tcMar>
              <w:left w:w="103" w:type="dxa"/>
            </w:tcMar>
          </w:tcPr>
          <w:p w:rsidR="009359D4" w:rsidRDefault="009359D4" w:rsidP="00F15600">
            <w:r>
              <w:t>605</w:t>
            </w:r>
          </w:p>
        </w:tc>
      </w:tr>
      <w:tr w:rsidR="009359D4" w:rsidTr="00F15600">
        <w:trPr>
          <w:trHeight w:val="533"/>
        </w:trPr>
        <w:tc>
          <w:tcPr>
            <w:tcW w:w="1975" w:type="dxa"/>
            <w:shd w:val="clear" w:color="auto" w:fill="auto"/>
            <w:tcMar>
              <w:left w:w="103" w:type="dxa"/>
            </w:tcMar>
          </w:tcPr>
          <w:p w:rsidR="009359D4" w:rsidRDefault="009359D4" w:rsidP="00F15600">
            <w:pPr>
              <w:rPr>
                <w:b/>
              </w:rPr>
            </w:pPr>
            <w:r>
              <w:rPr>
                <w:b/>
              </w:rPr>
              <w:t>R-Squared</w:t>
            </w:r>
          </w:p>
        </w:tc>
        <w:tc>
          <w:tcPr>
            <w:tcW w:w="1381" w:type="dxa"/>
            <w:shd w:val="clear" w:color="auto" w:fill="auto"/>
            <w:tcMar>
              <w:left w:w="103" w:type="dxa"/>
            </w:tcMar>
          </w:tcPr>
          <w:p w:rsidR="009359D4" w:rsidRDefault="009359D4" w:rsidP="00F15600">
            <w:r>
              <w:t>0.87</w:t>
            </w:r>
          </w:p>
        </w:tc>
        <w:tc>
          <w:tcPr>
            <w:tcW w:w="1693" w:type="dxa"/>
            <w:shd w:val="clear" w:color="auto" w:fill="auto"/>
            <w:tcMar>
              <w:left w:w="103" w:type="dxa"/>
            </w:tcMar>
          </w:tcPr>
          <w:p w:rsidR="009359D4" w:rsidRDefault="009359D4" w:rsidP="00F15600">
            <w:r>
              <w:t>0.82</w:t>
            </w:r>
          </w:p>
        </w:tc>
        <w:tc>
          <w:tcPr>
            <w:tcW w:w="1661" w:type="dxa"/>
            <w:shd w:val="clear" w:color="auto" w:fill="auto"/>
            <w:tcMar>
              <w:left w:w="103" w:type="dxa"/>
            </w:tcMar>
          </w:tcPr>
          <w:p w:rsidR="009359D4" w:rsidRDefault="009359D4" w:rsidP="00F15600">
            <w:r>
              <w:t>0.52</w:t>
            </w:r>
          </w:p>
        </w:tc>
        <w:tc>
          <w:tcPr>
            <w:tcW w:w="1407" w:type="dxa"/>
            <w:shd w:val="clear" w:color="auto" w:fill="auto"/>
            <w:tcMar>
              <w:left w:w="103" w:type="dxa"/>
            </w:tcMar>
          </w:tcPr>
          <w:p w:rsidR="009359D4" w:rsidRDefault="009359D4" w:rsidP="00F15600">
            <w:r>
              <w:t>0.80</w:t>
            </w:r>
          </w:p>
        </w:tc>
        <w:tc>
          <w:tcPr>
            <w:tcW w:w="1407" w:type="dxa"/>
            <w:shd w:val="clear" w:color="auto" w:fill="auto"/>
            <w:tcMar>
              <w:left w:w="103" w:type="dxa"/>
            </w:tcMar>
          </w:tcPr>
          <w:p w:rsidR="009359D4" w:rsidRDefault="009359D4" w:rsidP="00F15600">
            <w:r>
              <w:t>0.76</w:t>
            </w:r>
          </w:p>
        </w:tc>
      </w:tr>
      <w:tr w:rsidR="009359D4" w:rsidTr="00F15600">
        <w:trPr>
          <w:trHeight w:val="533"/>
        </w:trPr>
        <w:tc>
          <w:tcPr>
            <w:tcW w:w="9524" w:type="dxa"/>
            <w:gridSpan w:val="6"/>
            <w:shd w:val="clear" w:color="auto" w:fill="auto"/>
            <w:tcMar>
              <w:left w:w="103" w:type="dxa"/>
            </w:tcMar>
          </w:tcPr>
          <w:p w:rsidR="009359D4" w:rsidRDefault="009359D4" w:rsidP="00F15600"/>
          <w:p w:rsidR="009359D4" w:rsidRDefault="009359D4" w:rsidP="00F15600">
            <w:pPr>
              <w:jc w:val="center"/>
              <w:rPr>
                <w:rFonts w:ascii="Times New Roman" w:hAnsi="Times New Roman" w:cs="Times New Roman"/>
              </w:rPr>
            </w:pPr>
            <w:r>
              <w:rPr>
                <w:rFonts w:ascii="Times New Roman" w:hAnsi="Times New Roman" w:cs="Times New Roman"/>
              </w:rPr>
              <w:t xml:space="preserve">Statistical Significance: </w:t>
            </w:r>
            <w:r>
              <w:rPr>
                <w:rFonts w:ascii="Times New Roman" w:hAnsi="Times New Roman" w:cs="Times New Roman"/>
                <w:sz w:val="24"/>
                <w:szCs w:val="24"/>
                <w:vertAlign w:val="superscript"/>
              </w:rPr>
              <w:t xml:space="preserve">+ </w:t>
            </w:r>
            <w:r>
              <w:rPr>
                <w:rFonts w:ascii="Times New Roman" w:hAnsi="Times New Roman" w:cs="Times New Roman"/>
              </w:rPr>
              <w:t>= p&lt;.1 , *= p&lt;.05, **= p&lt;.01</w:t>
            </w:r>
          </w:p>
        </w:tc>
      </w:tr>
    </w:tbl>
    <w:p w:rsidR="009359D4" w:rsidRDefault="009359D4" w:rsidP="009359D4"/>
    <w:p w:rsidR="009359D4" w:rsidRDefault="009359D4" w:rsidP="009359D4">
      <w:pPr>
        <w:spacing w:line="360" w:lineRule="auto"/>
        <w:rPr>
          <w:rFonts w:ascii="Times New Roman" w:hAnsi="Times New Roman" w:cs="Times New Roman"/>
          <w:sz w:val="24"/>
          <w:szCs w:val="24"/>
        </w:rPr>
      </w:pPr>
      <w:r>
        <w:rPr>
          <w:rFonts w:ascii="Times New Roman" w:hAnsi="Times New Roman" w:cs="Times New Roman"/>
          <w:sz w:val="24"/>
          <w:szCs w:val="24"/>
        </w:rPr>
        <w:t>Our study also enables us to assess the relative sensitivity of the employment rates of workers in their early 20s to teenage workers. While both groups of workers are adversely affected by weakening labor market conditions, it is more so for teenage workers. In addition, the time trend indicates that the secular decline has been greater for teen employment than employment for workers in their early 20s.</w:t>
      </w:r>
    </w:p>
    <w:p w:rsidR="009359D4" w:rsidRDefault="009359D4" w:rsidP="009359D4">
      <w:pPr>
        <w:spacing w:line="360" w:lineRule="auto"/>
      </w:pPr>
      <w:r>
        <w:rPr>
          <w:rFonts w:ascii="Times New Roman" w:hAnsi="Times New Roman" w:cs="Times New Roman"/>
          <w:sz w:val="24"/>
          <w:szCs w:val="24"/>
        </w:rPr>
        <w:t xml:space="preserve">Changing demographic shares also influence the employment ratios. In particular, as the Hispanic youth share of the state’s population increases, the ratios of male and female workers in their early twenties increase relative to teenage employment. The reverse is true as the black youth share of the state’s population increases. Finally, as the real minimum wage increases, it adversely effects teen employment rates more than the employment rates of females in their early twenties so that the female-to-teen ratio increases. </w:t>
      </w:r>
    </w:p>
    <w:p w:rsidR="00A505A4" w:rsidRDefault="00A505A4">
      <w:bookmarkStart w:id="1" w:name="_GoBack"/>
      <w:bookmarkEnd w:id="1"/>
    </w:p>
    <w:sectPr w:rsidR="00A505A4">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D4"/>
    <w:rsid w:val="009359D4"/>
    <w:rsid w:val="00A5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D4"/>
    <w:pPr>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9D4"/>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D4"/>
    <w:pPr>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9D4"/>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2015-08-31T16:00:00Z</dcterms:created>
  <dcterms:modified xsi:type="dcterms:W3CDTF">2015-08-31T16:00:00Z</dcterms:modified>
</cp:coreProperties>
</file>